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E3A" w:rsidRDefault="004A6E3A" w:rsidP="004A6E3A">
      <w:pPr>
        <w:spacing w:before="240"/>
        <w:rPr>
          <w:b/>
          <w:bCs/>
        </w:rPr>
      </w:pPr>
      <w:r>
        <w:rPr>
          <w:b/>
          <w:bCs/>
        </w:rPr>
        <w:t>W planie jest to teren oznaczony 2U (w załączeniu rysunek)</w:t>
      </w:r>
    </w:p>
    <w:p w:rsidR="004A6E3A" w:rsidRDefault="004A6E3A" w:rsidP="004A6E3A">
      <w:pPr>
        <w:spacing w:before="240"/>
        <w:jc w:val="center"/>
        <w:rPr>
          <w:b/>
          <w:bCs/>
        </w:rPr>
      </w:pPr>
    </w:p>
    <w:p w:rsidR="004A6E3A" w:rsidRDefault="004A6E3A" w:rsidP="004A6E3A">
      <w:pPr>
        <w:spacing w:before="240"/>
        <w:jc w:val="center"/>
      </w:pPr>
      <w:r>
        <w:rPr>
          <w:b/>
          <w:bCs/>
        </w:rPr>
        <w:t>UCHWAŁA Nr XXXVIII/465/14</w:t>
      </w:r>
    </w:p>
    <w:p w:rsidR="004A6E3A" w:rsidRDefault="004A6E3A" w:rsidP="004A6E3A">
      <w:pPr>
        <w:jc w:val="center"/>
      </w:pPr>
      <w:r>
        <w:rPr>
          <w:b/>
          <w:bCs/>
        </w:rPr>
        <w:t>RADY MIEJSKIEJ W WIELUNIU</w:t>
      </w:r>
    </w:p>
    <w:p w:rsidR="004A6E3A" w:rsidRDefault="004A6E3A" w:rsidP="004A6E3A">
      <w:pPr>
        <w:spacing w:before="240"/>
        <w:jc w:val="center"/>
      </w:pPr>
      <w:r>
        <w:t>z dnia 5 marca 2014 r.</w:t>
      </w:r>
    </w:p>
    <w:p w:rsidR="004A6E3A" w:rsidRDefault="004A6E3A" w:rsidP="004A6E3A">
      <w:pPr>
        <w:spacing w:before="240"/>
        <w:jc w:val="center"/>
      </w:pPr>
      <w:r>
        <w:rPr>
          <w:b/>
          <w:bCs/>
        </w:rPr>
        <w:t>w sprawie uchwalenia miejscowego planu zagospodarowania przestrzennego dla wybranych terenów w obszarze miasta Wielunia</w:t>
      </w:r>
      <w:r>
        <w:rPr>
          <w:b/>
          <w:bCs/>
          <w:vertAlign w:val="superscript"/>
        </w:rPr>
        <w:t>*</w:t>
      </w:r>
    </w:p>
    <w:p w:rsidR="004A6E3A" w:rsidRDefault="004A6E3A" w:rsidP="004A6E3A">
      <w:r>
        <w:t>(…)</w:t>
      </w:r>
    </w:p>
    <w:p w:rsidR="004A6E3A" w:rsidRDefault="004A6E3A" w:rsidP="004A6E3A">
      <w:pPr>
        <w:ind w:left="408" w:hanging="408"/>
        <w:jc w:val="both"/>
      </w:pPr>
      <w:r>
        <w:t>4)     na obszarze objętym planem obiekt ujęty w wojewódzkiej ewidencji zabytków stanowi budynek dworca kolejowego Wieluń Dąbrowa przy ul. Kolejowej;</w:t>
      </w:r>
    </w:p>
    <w:p w:rsidR="004A6E3A" w:rsidRDefault="004A6E3A" w:rsidP="004A6E3A">
      <w:pPr>
        <w:ind w:left="408" w:hanging="408"/>
        <w:jc w:val="both"/>
      </w:pPr>
      <w:r>
        <w:t>5)     ustala się ochronę obiektu, o którym mowa w pkt 4, wchodzącego w skład zespołu dworca kolejowego, poprzez sformułowanie wymogów w ustaleniach szczegółowych dla terenu oznaczonego na rysunku planu symbolem 2U zawartych w Rozdziale 3 § 23 ust. 2 pkt 1 lit. h;</w:t>
      </w:r>
    </w:p>
    <w:p w:rsidR="004A6E3A" w:rsidRDefault="004A6E3A" w:rsidP="004A6E3A">
      <w:r>
        <w:t>(…)</w:t>
      </w:r>
    </w:p>
    <w:p w:rsidR="004A6E3A" w:rsidRDefault="004A6E3A" w:rsidP="004A6E3A">
      <w:pPr>
        <w:spacing w:before="240"/>
        <w:ind w:firstLine="431"/>
        <w:jc w:val="both"/>
      </w:pPr>
      <w:r>
        <w:rPr>
          <w:b/>
          <w:bCs/>
        </w:rPr>
        <w:t>§ 23. </w:t>
      </w:r>
      <w:r>
        <w:t xml:space="preserve">1. Dla terenów oznaczonych na rysunku planu symbolami: </w:t>
      </w:r>
      <w:r>
        <w:rPr>
          <w:b/>
          <w:bCs/>
        </w:rPr>
        <w:t>2U</w:t>
      </w:r>
      <w:r>
        <w:t>, 22U, 24U, 41U, 43U ustala się:</w:t>
      </w:r>
    </w:p>
    <w:p w:rsidR="004A6E3A" w:rsidRDefault="004A6E3A" w:rsidP="004A6E3A">
      <w:pPr>
        <w:ind w:left="408" w:hanging="408"/>
        <w:jc w:val="both"/>
      </w:pPr>
      <w:r>
        <w:t>1)     przeznaczenie terenów:</w:t>
      </w:r>
    </w:p>
    <w:p w:rsidR="004A6E3A" w:rsidRDefault="004A6E3A" w:rsidP="004A6E3A">
      <w:pPr>
        <w:ind w:left="680" w:hanging="272"/>
        <w:jc w:val="both"/>
      </w:pPr>
      <w:r>
        <w:t>a)  usługi komercyjne lub publiczne, jako podstawowe przeznaczenie terenów,</w:t>
      </w:r>
    </w:p>
    <w:p w:rsidR="004A6E3A" w:rsidRDefault="004A6E3A" w:rsidP="004A6E3A">
      <w:pPr>
        <w:ind w:left="680" w:hanging="272"/>
        <w:jc w:val="both"/>
      </w:pPr>
      <w:r>
        <w:t>b)  zieleń, parkingi, jako dopuszczalne przeznaczenie terenu,</w:t>
      </w:r>
    </w:p>
    <w:p w:rsidR="004A6E3A" w:rsidRDefault="004A6E3A" w:rsidP="004A6E3A">
      <w:pPr>
        <w:ind w:left="680" w:hanging="272"/>
        <w:jc w:val="both"/>
      </w:pPr>
      <w:r>
        <w:t>c)  sieci infrastruktury technicznej, jako dopuszczalne przeznaczenie terenu;</w:t>
      </w:r>
    </w:p>
    <w:p w:rsidR="004A6E3A" w:rsidRDefault="004A6E3A" w:rsidP="004A6E3A">
      <w:pPr>
        <w:ind w:left="408" w:hanging="408"/>
        <w:jc w:val="both"/>
      </w:pPr>
      <w:r>
        <w:t>2)     warunki scalania i podziału nieruchomości:</w:t>
      </w:r>
    </w:p>
    <w:p w:rsidR="004A6E3A" w:rsidRDefault="004A6E3A" w:rsidP="004A6E3A">
      <w:pPr>
        <w:ind w:left="680" w:hanging="272"/>
        <w:jc w:val="both"/>
      </w:pPr>
      <w:r>
        <w:t>a)  zachowuje się istniejące granice działki, nieruchomości stanowiącej teren,</w:t>
      </w:r>
    </w:p>
    <w:p w:rsidR="004A6E3A" w:rsidRDefault="004A6E3A" w:rsidP="004A6E3A">
      <w:pPr>
        <w:ind w:left="680" w:hanging="272"/>
        <w:jc w:val="both"/>
      </w:pPr>
      <w:r>
        <w:t>b)  ww. warunek nie dotyczy działek powstających w wyniku regulacji stanu prawnego, której celem nie jest wydzielenie działek budowlanych lecz poprawa warunków istniejącego zagospodarowania;</w:t>
      </w:r>
    </w:p>
    <w:p w:rsidR="004A6E3A" w:rsidRDefault="004A6E3A" w:rsidP="004A6E3A">
      <w:pPr>
        <w:ind w:left="408" w:hanging="408"/>
        <w:jc w:val="both"/>
      </w:pPr>
      <w:r>
        <w:t>3)     warunki zagospodarowania:</w:t>
      </w:r>
    </w:p>
    <w:p w:rsidR="004A6E3A" w:rsidRDefault="004A6E3A" w:rsidP="004A6E3A">
      <w:pPr>
        <w:ind w:left="680" w:hanging="272"/>
        <w:jc w:val="both"/>
      </w:pPr>
      <w:r>
        <w:t>a)  dopuszcza się wyłącznie ogrodzenia ażurowe o maksymalnej wysokości 1,5 m; obowiązuje zakaz stosowania ogrodzeń żelbetowych typu słupowo - płytowego,</w:t>
      </w:r>
    </w:p>
    <w:p w:rsidR="004A6E3A" w:rsidRDefault="004A6E3A" w:rsidP="004A6E3A">
      <w:pPr>
        <w:ind w:left="680" w:hanging="272"/>
        <w:jc w:val="both"/>
      </w:pPr>
      <w:r>
        <w:t>b)  obowiązuje zapewnienie miejsc parkingowych zgodnie z § 13 pkt 5,</w:t>
      </w:r>
    </w:p>
    <w:p w:rsidR="004A6E3A" w:rsidRDefault="004A6E3A" w:rsidP="004A6E3A">
      <w:pPr>
        <w:ind w:left="680" w:hanging="272"/>
        <w:jc w:val="both"/>
      </w:pPr>
      <w:r>
        <w:t>c)  obowiązują zasady obsługi komunikacyjnej ustalone w § 13,</w:t>
      </w:r>
    </w:p>
    <w:p w:rsidR="004A6E3A" w:rsidRDefault="004A6E3A" w:rsidP="004A6E3A">
      <w:pPr>
        <w:ind w:left="680" w:hanging="272"/>
        <w:jc w:val="both"/>
      </w:pPr>
      <w:r>
        <w:t>d)  obowiązują warunki w zakresie infrastruktury technicznej ustalone w § 14,</w:t>
      </w:r>
    </w:p>
    <w:p w:rsidR="004A6E3A" w:rsidRDefault="004A6E3A" w:rsidP="004A6E3A">
      <w:pPr>
        <w:ind w:left="680" w:hanging="272"/>
        <w:jc w:val="both"/>
      </w:pPr>
      <w:r>
        <w:t>e)  obowiązuje ograniczenie uciążliwości związanej z prowadzeniem działalności do granic terenu (działki, nieruchomości),</w:t>
      </w:r>
    </w:p>
    <w:p w:rsidR="004A6E3A" w:rsidRDefault="004A6E3A" w:rsidP="004A6E3A">
      <w:pPr>
        <w:ind w:left="680" w:hanging="272"/>
        <w:jc w:val="both"/>
      </w:pPr>
      <w:r>
        <w:t>f)   dla terenów oznaczonych na rysunku planu symbolami: 2U, 22U, 24U, 43U w przypadku lokalizacji usług oświaty, usług związanych z opieką społeczną lub hospitalizacją obowiązuje dopuszczalny poziom hałasu w środowisku, określony w przepisach odrębnych o ochronie środowiska odpowiednio dla: terenów zabudowy związanej ze stałym lub wielogodzinnym pobytem dzieci i młodzieży, terenów domów opieki społecznej, terenów szpitali w miastach;</w:t>
      </w:r>
    </w:p>
    <w:p w:rsidR="004A6E3A" w:rsidRDefault="004A6E3A" w:rsidP="004A6E3A">
      <w:pPr>
        <w:ind w:left="408" w:hanging="408"/>
        <w:jc w:val="both"/>
      </w:pPr>
      <w:r>
        <w:t>4)     warunki dla istniejącej zabudowy:</w:t>
      </w:r>
    </w:p>
    <w:p w:rsidR="004A6E3A" w:rsidRDefault="004A6E3A" w:rsidP="004A6E3A">
      <w:pPr>
        <w:ind w:left="680" w:hanging="272"/>
        <w:jc w:val="both"/>
      </w:pPr>
      <w:r>
        <w:t>a)  dla istniejącej zabudowy dopuszcza się przebudowę, rozbudowę, nadbudowę, wymianę zgodnie z ustaleniami dla projektowanej zabudowy w zakresie niesprzecznym z istniejącymi parametrami tej zabudowy,</w:t>
      </w:r>
    </w:p>
    <w:p w:rsidR="004A6E3A" w:rsidRDefault="004A6E3A" w:rsidP="004A6E3A">
      <w:pPr>
        <w:ind w:left="680" w:hanging="272"/>
        <w:jc w:val="both"/>
      </w:pPr>
      <w:r>
        <w:t>b)  w działalności remontowej, mającej wpływ na wygląd zewnętrzny zabudowy obowiązuje:</w:t>
      </w:r>
    </w:p>
    <w:p w:rsidR="004A6E3A" w:rsidRDefault="004A6E3A" w:rsidP="004A6E3A">
      <w:pPr>
        <w:ind w:left="907" w:hanging="227"/>
        <w:jc w:val="both"/>
      </w:pPr>
      <w:r>
        <w:t>–  ujednolicenie stolarki (kolor, podziały) w ramach budynku,</w:t>
      </w:r>
    </w:p>
    <w:p w:rsidR="004A6E3A" w:rsidRDefault="004A6E3A" w:rsidP="004A6E3A">
      <w:pPr>
        <w:ind w:left="907" w:hanging="227"/>
        <w:jc w:val="both"/>
      </w:pPr>
      <w:r>
        <w:t>–  zakaz malowania fragmentu elewacji w kolorze odbiegającym od kolorystyki całej elewacji, jeżeli powyższe nie wynika z koncepcji kolorystyki całej elewacji;</w:t>
      </w:r>
    </w:p>
    <w:p w:rsidR="004A6E3A" w:rsidRDefault="004A6E3A" w:rsidP="004A6E3A">
      <w:pPr>
        <w:ind w:left="408" w:hanging="408"/>
        <w:jc w:val="both"/>
      </w:pPr>
      <w:r>
        <w:lastRenderedPageBreak/>
        <w:t>5)     warunki dla projektowanej zabudowy:</w:t>
      </w:r>
    </w:p>
    <w:p w:rsidR="004A6E3A" w:rsidRDefault="004A6E3A" w:rsidP="004A6E3A">
      <w:pPr>
        <w:ind w:left="680" w:hanging="272"/>
        <w:jc w:val="both"/>
      </w:pPr>
      <w:r>
        <w:t>a)  obowiązują ustalone na rysunku planu nieprzekraczalne linie zabudowy z wyłączeniem urządzeń infrastruktury technicznej,</w:t>
      </w:r>
    </w:p>
    <w:p w:rsidR="004A6E3A" w:rsidRDefault="004A6E3A" w:rsidP="004A6E3A">
      <w:pPr>
        <w:ind w:left="680" w:hanging="272"/>
        <w:jc w:val="both"/>
      </w:pPr>
      <w:r>
        <w:t>b)  dla elewacji budynków oraz dachów wyklucza się stosowanie jaskrawych kolorów, z dopuszczeniem zastrzeżonych prawnie barw dla poszczególnych firm,</w:t>
      </w:r>
    </w:p>
    <w:p w:rsidR="004A6E3A" w:rsidRDefault="004A6E3A" w:rsidP="004A6E3A">
      <w:pPr>
        <w:ind w:left="680" w:hanging="272"/>
        <w:jc w:val="both"/>
      </w:pPr>
      <w:r>
        <w:t>c)  dla obiektów użyteczności publicznej obowiązuje kształtowanie zabudowy i zagospodarowanie terenu w sposób umożliwiający bezkolizyjne korzystanie osobom niepełnosprawnym,</w:t>
      </w:r>
    </w:p>
    <w:p w:rsidR="004A6E3A" w:rsidRDefault="004A6E3A" w:rsidP="004A6E3A">
      <w:pPr>
        <w:ind w:left="680" w:hanging="272"/>
        <w:jc w:val="both"/>
      </w:pPr>
      <w:r>
        <w:t>d)  obowiązuje zakaz realizacji budynków tymczasowych za wyjątkiem sezonowych ogródków gastronomii,</w:t>
      </w:r>
    </w:p>
    <w:p w:rsidR="004A6E3A" w:rsidRDefault="004A6E3A" w:rsidP="004A6E3A">
      <w:pPr>
        <w:ind w:left="680" w:hanging="272"/>
        <w:jc w:val="both"/>
      </w:pPr>
      <w:r>
        <w:t>e)  dopuszcza się lokalizację stacji transformatorowej jako wbudowanej w bryłę budynku usługowego lub w formie parterowego, wolnostojącego budynku, dla którego obowiązuje:</w:t>
      </w:r>
    </w:p>
    <w:p w:rsidR="004A6E3A" w:rsidRDefault="004A6E3A" w:rsidP="004A6E3A">
      <w:pPr>
        <w:ind w:left="907" w:hanging="227"/>
        <w:jc w:val="both"/>
      </w:pPr>
      <w:r>
        <w:t>–  maksymalna wysokość - 5,0 m,</w:t>
      </w:r>
    </w:p>
    <w:p w:rsidR="004A6E3A" w:rsidRDefault="004A6E3A" w:rsidP="004A6E3A">
      <w:pPr>
        <w:ind w:left="907" w:hanging="227"/>
        <w:jc w:val="both"/>
      </w:pPr>
      <w:r>
        <w:t>–  kąt nachylenia połaci dachowych - 0°-20°,</w:t>
      </w:r>
    </w:p>
    <w:p w:rsidR="004A6E3A" w:rsidRDefault="004A6E3A" w:rsidP="004A6E3A">
      <w:pPr>
        <w:ind w:left="907" w:hanging="227"/>
        <w:jc w:val="both"/>
      </w:pPr>
      <w:r>
        <w:t>–  dla elewacji oraz dachu wyklucza się stosowanie jaskrawych kolorów kontrastujących z otoczeniem.</w:t>
      </w:r>
    </w:p>
    <w:p w:rsidR="004A6E3A" w:rsidRDefault="004A6E3A" w:rsidP="004A6E3A">
      <w:pPr>
        <w:ind w:firstLine="431"/>
        <w:jc w:val="both"/>
      </w:pPr>
      <w:r>
        <w:t>2. Dla wyszczególnionych poniżej terenów, oprócz ustaleń zawartych w ust. 1 wprowadza się dodatkowe ustalenia:</w:t>
      </w:r>
    </w:p>
    <w:p w:rsidR="004A6E3A" w:rsidRDefault="004A6E3A" w:rsidP="004A6E3A">
      <w:pPr>
        <w:ind w:left="408" w:hanging="408"/>
        <w:jc w:val="both"/>
      </w:pPr>
      <w:r>
        <w:t>1)     dla terenu oznaczonego na rysunku planu symbolem 2U ustala się:</w:t>
      </w:r>
    </w:p>
    <w:p w:rsidR="004A6E3A" w:rsidRDefault="004A6E3A" w:rsidP="004A6E3A">
      <w:pPr>
        <w:ind w:left="680" w:hanging="272"/>
        <w:jc w:val="both"/>
      </w:pPr>
      <w:r>
        <w:t>a)  dopuszcza się wykorzystanie budynku dawnego dworca kolejowego dla potrzeb domu kultury wraz z towarzyszącym, uzupełniającym programem użytkowym,</w:t>
      </w:r>
    </w:p>
    <w:p w:rsidR="004A6E3A" w:rsidRDefault="004A6E3A" w:rsidP="004A6E3A">
      <w:pPr>
        <w:ind w:left="680" w:hanging="272"/>
        <w:jc w:val="both"/>
      </w:pPr>
      <w:r>
        <w:t>b)  dopuszcza się wykorzystanie istniejącej zabudowy dla potrzeb obsługi transportu kolejowego,</w:t>
      </w:r>
    </w:p>
    <w:p w:rsidR="004A6E3A" w:rsidRDefault="004A6E3A" w:rsidP="004A6E3A">
      <w:pPr>
        <w:ind w:left="680" w:hanging="272"/>
        <w:jc w:val="both"/>
      </w:pPr>
      <w:r>
        <w:t>c)  maksymalna powierzchnia zabudowy - 30% powierzchni działki budowlanej,</w:t>
      </w:r>
    </w:p>
    <w:p w:rsidR="004A6E3A" w:rsidRDefault="004A6E3A" w:rsidP="004A6E3A">
      <w:pPr>
        <w:ind w:left="680" w:hanging="272"/>
        <w:jc w:val="both"/>
      </w:pPr>
      <w:r>
        <w:t>d)  minimalny wskaźnik intensywności zabudowy - 0,15,</w:t>
      </w:r>
    </w:p>
    <w:p w:rsidR="004A6E3A" w:rsidRDefault="004A6E3A" w:rsidP="004A6E3A">
      <w:pPr>
        <w:ind w:left="680" w:hanging="272"/>
        <w:jc w:val="both"/>
      </w:pPr>
      <w:r>
        <w:t>e)  maksymalny wskaźnik intensywności zabudowy - 0,6,</w:t>
      </w:r>
    </w:p>
    <w:p w:rsidR="004A6E3A" w:rsidRDefault="004A6E3A" w:rsidP="004A6E3A">
      <w:pPr>
        <w:ind w:left="680" w:hanging="272"/>
        <w:jc w:val="both"/>
      </w:pPr>
      <w:r>
        <w:t>f)   minimalny udział powierzchni biologicznie czynnej - 5%,</w:t>
      </w:r>
    </w:p>
    <w:p w:rsidR="004A6E3A" w:rsidRDefault="004A6E3A" w:rsidP="004A6E3A">
      <w:pPr>
        <w:ind w:left="680" w:hanging="272"/>
        <w:jc w:val="both"/>
      </w:pPr>
      <w:r>
        <w:t>g)  dla projektowanej zabudowy obowiązuje:</w:t>
      </w:r>
    </w:p>
    <w:p w:rsidR="004A6E3A" w:rsidRDefault="004A6E3A" w:rsidP="004A6E3A">
      <w:pPr>
        <w:ind w:left="907" w:hanging="227"/>
        <w:jc w:val="both"/>
      </w:pPr>
      <w:r>
        <w:t>–  maksymalna wysokość zabudowy - 12,0 m,</w:t>
      </w:r>
    </w:p>
    <w:p w:rsidR="004A6E3A" w:rsidRDefault="004A6E3A" w:rsidP="004A6E3A">
      <w:pPr>
        <w:ind w:left="907" w:hanging="227"/>
        <w:jc w:val="both"/>
      </w:pPr>
      <w:r>
        <w:t>–  kąt nachylenia połaci dachowych od 0º do 25º,</w:t>
      </w:r>
    </w:p>
    <w:p w:rsidR="004A6E3A" w:rsidRDefault="004A6E3A" w:rsidP="004A6E3A">
      <w:pPr>
        <w:ind w:left="680" w:hanging="272"/>
        <w:jc w:val="both"/>
        <w:rPr>
          <w:b/>
          <w:bCs/>
        </w:rPr>
      </w:pPr>
      <w:r>
        <w:rPr>
          <w:b/>
          <w:bCs/>
        </w:rPr>
        <w:t>h)  dla budynku wskazanego na rysunku planu i ujętego w wojewódzkiej ewidencji zabytków ustala się:</w:t>
      </w:r>
    </w:p>
    <w:p w:rsidR="004A6E3A" w:rsidRDefault="004A6E3A" w:rsidP="004A6E3A">
      <w:pPr>
        <w:ind w:left="907" w:hanging="227"/>
        <w:jc w:val="both"/>
        <w:rPr>
          <w:b/>
          <w:bCs/>
        </w:rPr>
      </w:pPr>
      <w:r>
        <w:rPr>
          <w:b/>
          <w:bCs/>
        </w:rPr>
        <w:t>–  w wyniku prowadzenia wszelkich działań inwestycyjnych forma budynku nie może ulec pogorszeniu, obowiązuje zachowanie istotnej dla miejscowej tradycji formy architektonicznej, proporcji, detalu, materiałów i faktur wypraw zewnętrznych,</w:t>
      </w:r>
    </w:p>
    <w:p w:rsidR="004A6E3A" w:rsidRDefault="004A6E3A" w:rsidP="004A6E3A">
      <w:pPr>
        <w:ind w:left="907" w:hanging="227"/>
        <w:jc w:val="both"/>
        <w:rPr>
          <w:b/>
          <w:bCs/>
        </w:rPr>
      </w:pPr>
      <w:r>
        <w:rPr>
          <w:b/>
          <w:bCs/>
        </w:rPr>
        <w:t>–  obowiązuje prowadzenie wszelkich działań, które mogą mieć wpływ na stan zachowania lub zmianę wyglądu obiektu, np. dotyczące zmiany gabarytów, zmian w sposobie dyspozycji i artykulacji elewacji, w tym także proporcji otworów zewnętrznych i form zewnętrznej stolarki otworowej oraz zmian kolorystyki elewacji zgodnie z przepisami odrębnymi,</w:t>
      </w:r>
    </w:p>
    <w:p w:rsidR="004A6E3A" w:rsidRDefault="004A6E3A" w:rsidP="004A6E3A">
      <w:pPr>
        <w:ind w:left="907" w:hanging="227"/>
        <w:jc w:val="both"/>
        <w:rPr>
          <w:b/>
          <w:bCs/>
        </w:rPr>
      </w:pPr>
      <w:r>
        <w:rPr>
          <w:b/>
          <w:bCs/>
        </w:rPr>
        <w:t>–  w przypadku ewentualnej konieczności rozbiórki zabytku włączonego do ewidencji obowiązuje prowadzenie działań, w tym w zakresie określenia możliwości i zasad wyłączenia obiektu z tej ewidencji zabytków zgodnie z przepisami odrębnymi;</w:t>
      </w:r>
    </w:p>
    <w:p w:rsidR="004A6E3A" w:rsidRDefault="004A6E3A" w:rsidP="004A6E3A">
      <w:pPr>
        <w:ind w:left="408" w:hanging="408"/>
        <w:jc w:val="both"/>
      </w:pPr>
      <w:r>
        <w:t>2)     dla terenu oznaczonego na rysunku planu symbolem 22U ustala się:</w:t>
      </w:r>
    </w:p>
    <w:p w:rsidR="004A6E3A" w:rsidRDefault="004A6E3A" w:rsidP="004A6E3A">
      <w:pPr>
        <w:ind w:left="680" w:hanging="272"/>
        <w:jc w:val="both"/>
      </w:pPr>
      <w:r>
        <w:t>a)  na działce nr ew. 527/2 dopuszcza się zagospodarowanie dla potrzeb przychodni zdrowia wraz z niezbędnym zapleczem z możliwością łącznego zagospodarowania z działką nr ew. 528/1,</w:t>
      </w:r>
    </w:p>
    <w:p w:rsidR="004A6E3A" w:rsidRDefault="004A6E3A" w:rsidP="004A6E3A">
      <w:pPr>
        <w:ind w:left="680" w:hanging="272"/>
        <w:jc w:val="both"/>
      </w:pPr>
      <w:r>
        <w:t>b)  maksymalna powierzchnia zabudowy - 35% powierzchni  działki budowlanej,</w:t>
      </w:r>
    </w:p>
    <w:p w:rsidR="004A6E3A" w:rsidRDefault="004A6E3A" w:rsidP="004A6E3A">
      <w:pPr>
        <w:ind w:left="680" w:hanging="272"/>
        <w:jc w:val="both"/>
      </w:pPr>
      <w:r>
        <w:t>c)  minimalny wskaźnik intensywności zabudowy - 0,3,</w:t>
      </w:r>
    </w:p>
    <w:p w:rsidR="004A6E3A" w:rsidRDefault="004A6E3A" w:rsidP="004A6E3A">
      <w:pPr>
        <w:ind w:left="680" w:hanging="272"/>
        <w:jc w:val="both"/>
      </w:pPr>
      <w:r>
        <w:t>d)  maksymalny wskaźnik intensywności zabudowy - 0,7,</w:t>
      </w:r>
    </w:p>
    <w:p w:rsidR="004A6E3A" w:rsidRDefault="004A6E3A" w:rsidP="004A6E3A">
      <w:pPr>
        <w:ind w:left="680" w:hanging="272"/>
        <w:jc w:val="both"/>
      </w:pPr>
      <w:r>
        <w:t>e)  minimalny udział powierzchni biologicznie czynnej - 15%,</w:t>
      </w:r>
    </w:p>
    <w:p w:rsidR="004A6E3A" w:rsidRDefault="004A6E3A" w:rsidP="004A6E3A">
      <w:pPr>
        <w:ind w:left="680" w:hanging="272"/>
        <w:jc w:val="both"/>
      </w:pPr>
      <w:r>
        <w:t>f)   dla projektowanej zabudowy obowiązuje:</w:t>
      </w:r>
    </w:p>
    <w:p w:rsidR="004A6E3A" w:rsidRDefault="004A6E3A" w:rsidP="004A6E3A">
      <w:pPr>
        <w:ind w:left="907" w:hanging="227"/>
        <w:jc w:val="both"/>
      </w:pPr>
      <w:r>
        <w:t>–  maksymalna wysokość zabudowy - 11,0 m,</w:t>
      </w:r>
    </w:p>
    <w:p w:rsidR="004A6E3A" w:rsidRDefault="004A6E3A" w:rsidP="004A6E3A">
      <w:pPr>
        <w:ind w:left="907" w:hanging="227"/>
        <w:jc w:val="both"/>
      </w:pPr>
      <w:r>
        <w:lastRenderedPageBreak/>
        <w:t>–  kąt nachylania połaci dachowych - 15º- 40º,</w:t>
      </w:r>
    </w:p>
    <w:p w:rsidR="004A6E3A" w:rsidRDefault="004A6E3A" w:rsidP="004A6E3A">
      <w:pPr>
        <w:ind w:left="680" w:hanging="272"/>
        <w:jc w:val="both"/>
      </w:pPr>
      <w:r>
        <w:t>g)  dla działki nr ew. 528/1 dopuszcza się zagospodarowanie w formie zabudowy jednorodzinnej, obowiązują wówczas warunki ustalone w § 18;</w:t>
      </w:r>
    </w:p>
    <w:p w:rsidR="004A6E3A" w:rsidRDefault="004A6E3A" w:rsidP="004A6E3A">
      <w:pPr>
        <w:ind w:left="408" w:hanging="408"/>
        <w:jc w:val="both"/>
      </w:pPr>
      <w:r>
        <w:t>3)     dla terenu oznaczonego na rysunku planu symbolem 24U ustala się:</w:t>
      </w:r>
    </w:p>
    <w:p w:rsidR="004A6E3A" w:rsidRDefault="004A6E3A" w:rsidP="004A6E3A">
      <w:pPr>
        <w:ind w:left="680" w:hanging="272"/>
        <w:jc w:val="both"/>
      </w:pPr>
      <w:r>
        <w:t>a)  dopuszcza się zagospodarowanie w formie obiektu usług zdrowia z uzupełniającą funkcją mieszkalną,</w:t>
      </w:r>
    </w:p>
    <w:p w:rsidR="004A6E3A" w:rsidRDefault="004A6E3A" w:rsidP="004A6E3A">
      <w:pPr>
        <w:ind w:left="680" w:hanging="272"/>
        <w:jc w:val="both"/>
      </w:pPr>
      <w:r>
        <w:t>b)  maksymalna powierzchnia zabudowy - 30% powierzchni działki budowlanej,</w:t>
      </w:r>
    </w:p>
    <w:p w:rsidR="004A6E3A" w:rsidRDefault="004A6E3A" w:rsidP="004A6E3A">
      <w:pPr>
        <w:ind w:left="680" w:hanging="272"/>
        <w:jc w:val="both"/>
      </w:pPr>
      <w:r>
        <w:t>c)  minimalny wskaźnik intensywności zabudowy - 0,1,</w:t>
      </w:r>
    </w:p>
    <w:p w:rsidR="004A6E3A" w:rsidRDefault="004A6E3A" w:rsidP="004A6E3A">
      <w:pPr>
        <w:ind w:left="680" w:hanging="272"/>
        <w:jc w:val="both"/>
      </w:pPr>
      <w:r>
        <w:t>d)  maksymalny wskaźnik intensywności zabudowy - 0,6,</w:t>
      </w:r>
    </w:p>
    <w:p w:rsidR="004A6E3A" w:rsidRDefault="004A6E3A" w:rsidP="004A6E3A">
      <w:pPr>
        <w:ind w:left="680" w:hanging="272"/>
        <w:jc w:val="both"/>
      </w:pPr>
      <w:r>
        <w:t>e)  minimalny udział powierzchni biologicznie czynnej - 20%,</w:t>
      </w:r>
    </w:p>
    <w:p w:rsidR="004A6E3A" w:rsidRDefault="004A6E3A" w:rsidP="004A6E3A">
      <w:pPr>
        <w:ind w:left="680" w:hanging="272"/>
        <w:jc w:val="both"/>
      </w:pPr>
      <w:r>
        <w:t>f)   maksymalna wysokość zabudowy - 11,0 m,</w:t>
      </w:r>
    </w:p>
    <w:p w:rsidR="004A6E3A" w:rsidRDefault="004A6E3A" w:rsidP="004A6E3A">
      <w:pPr>
        <w:ind w:left="680" w:hanging="272"/>
        <w:jc w:val="both"/>
      </w:pPr>
      <w:r>
        <w:t>g)  kąt nachylenia połaci dachowych od 0º do 15º ze wskazaniem stosowania dachów płaskich jako nawiązania do formy dachów sąsiednich budynków,</w:t>
      </w:r>
    </w:p>
    <w:p w:rsidR="004A6E3A" w:rsidRDefault="004A6E3A" w:rsidP="004A6E3A">
      <w:pPr>
        <w:ind w:left="680" w:hanging="272"/>
        <w:jc w:val="both"/>
      </w:pPr>
      <w:r>
        <w:t>h)  w przypadku realizacji zagospodarowania, o którym mowa w ust. 2 pkt 3 lit. a, obowiązuje dopuszczalny poziom hałasu w środowisku określony w przepisach odrębnych o ochronie środowiska dla terenów zabudowy mieszkaniowo-usługowej;</w:t>
      </w:r>
    </w:p>
    <w:p w:rsidR="004A6E3A" w:rsidRDefault="004A6E3A" w:rsidP="004A6E3A">
      <w:pPr>
        <w:ind w:left="408" w:hanging="408"/>
        <w:jc w:val="both"/>
      </w:pPr>
      <w:r>
        <w:t>4)     dla terenu oznaczonego na rysunku planu symbolem 41U ustala się:</w:t>
      </w:r>
    </w:p>
    <w:p w:rsidR="004A6E3A" w:rsidRDefault="004A6E3A" w:rsidP="004A6E3A">
      <w:pPr>
        <w:ind w:left="680" w:hanging="272"/>
        <w:jc w:val="both"/>
      </w:pPr>
      <w:r>
        <w:t>a)  zagospodarowanie w formie obiektu handlowego wraz z niezbędnym zapleczem,</w:t>
      </w:r>
    </w:p>
    <w:p w:rsidR="004A6E3A" w:rsidRDefault="004A6E3A" w:rsidP="004A6E3A">
      <w:pPr>
        <w:ind w:left="680" w:hanging="272"/>
        <w:jc w:val="both"/>
      </w:pPr>
      <w:r>
        <w:t>b)  maksymalna powierzchnia zabudowy - 35% powierzchni działki budowlanej,</w:t>
      </w:r>
    </w:p>
    <w:p w:rsidR="004A6E3A" w:rsidRDefault="004A6E3A" w:rsidP="004A6E3A">
      <w:pPr>
        <w:ind w:left="680" w:hanging="272"/>
        <w:jc w:val="both"/>
      </w:pPr>
      <w:r>
        <w:t>c)  minimalny wskaźnik intensywności zabudowy - 0,2,</w:t>
      </w:r>
    </w:p>
    <w:p w:rsidR="004A6E3A" w:rsidRDefault="004A6E3A" w:rsidP="004A6E3A">
      <w:pPr>
        <w:ind w:left="680" w:hanging="272"/>
        <w:jc w:val="both"/>
      </w:pPr>
      <w:r>
        <w:t>d)  maksymalny wskaźnik intensywności zabudowy - 0,4,</w:t>
      </w:r>
    </w:p>
    <w:p w:rsidR="004A6E3A" w:rsidRDefault="004A6E3A" w:rsidP="004A6E3A">
      <w:pPr>
        <w:ind w:left="680" w:hanging="272"/>
        <w:jc w:val="both"/>
      </w:pPr>
      <w:r>
        <w:t>e)  minimalny udział powierzchni biologicznie czynnej - 20%,</w:t>
      </w:r>
    </w:p>
    <w:p w:rsidR="004A6E3A" w:rsidRDefault="004A6E3A" w:rsidP="004A6E3A">
      <w:pPr>
        <w:ind w:left="680" w:hanging="272"/>
        <w:jc w:val="both"/>
      </w:pPr>
      <w:r>
        <w:t>f)   maksymalna wysokość zabudowy - 7,0 m (nie obejmuje urządzeń technicznych i wentylacyjnych), dopuszcza się zwiększenie wysokości dla pojedynczych elementów technicznych lub związanych z reklamą o 20%,</w:t>
      </w:r>
    </w:p>
    <w:p w:rsidR="004A6E3A" w:rsidRDefault="004A6E3A" w:rsidP="004A6E3A">
      <w:pPr>
        <w:ind w:left="680" w:hanging="272"/>
        <w:jc w:val="both"/>
      </w:pPr>
      <w:r>
        <w:t>g)  kąt nachylenia połaci dachowych od 0º do 10º,</w:t>
      </w:r>
    </w:p>
    <w:p w:rsidR="004A6E3A" w:rsidRDefault="004A6E3A" w:rsidP="004A6E3A">
      <w:pPr>
        <w:ind w:left="680" w:hanging="272"/>
        <w:jc w:val="both"/>
      </w:pPr>
      <w:r>
        <w:t>h)  teren nie podlega ochronie akustycznej;</w:t>
      </w:r>
    </w:p>
    <w:p w:rsidR="004A6E3A" w:rsidRDefault="004A6E3A" w:rsidP="004A6E3A">
      <w:pPr>
        <w:ind w:left="408" w:hanging="408"/>
        <w:jc w:val="both"/>
      </w:pPr>
      <w:r>
        <w:t>5)     dla terenu oznaczonego na rysunku planu symbolem 43U ustala się:</w:t>
      </w:r>
    </w:p>
    <w:p w:rsidR="004A6E3A" w:rsidRDefault="004A6E3A" w:rsidP="004A6E3A">
      <w:pPr>
        <w:ind w:left="680" w:hanging="272"/>
        <w:jc w:val="both"/>
      </w:pPr>
      <w:r>
        <w:t>a)  dopuszcza się lokalizację usług zdrowia - ośrodka terapii uzależnień wraz z towarzyszącymi parkingami, zielenią,</w:t>
      </w:r>
    </w:p>
    <w:p w:rsidR="004A6E3A" w:rsidRDefault="004A6E3A" w:rsidP="004A6E3A">
      <w:pPr>
        <w:ind w:left="680" w:hanging="272"/>
        <w:jc w:val="both"/>
      </w:pPr>
      <w:r>
        <w:t>b)  w ramach zagospodarowania terenu obowiązuje zachowanie istniejącego rowu otwartego,</w:t>
      </w:r>
    </w:p>
    <w:p w:rsidR="004A6E3A" w:rsidRDefault="004A6E3A" w:rsidP="004A6E3A">
      <w:pPr>
        <w:ind w:left="680" w:hanging="272"/>
        <w:jc w:val="both"/>
      </w:pPr>
      <w:r>
        <w:t>c)  maksymalna powierzchnia zabudowy - 20% powierzchni działki budowlanej,</w:t>
      </w:r>
    </w:p>
    <w:p w:rsidR="004A6E3A" w:rsidRDefault="004A6E3A" w:rsidP="004A6E3A">
      <w:pPr>
        <w:ind w:left="680" w:hanging="272"/>
        <w:jc w:val="both"/>
      </w:pPr>
      <w:r>
        <w:t>d)  minimalny wskaźnik intensywności zabudowy - 0,15,</w:t>
      </w:r>
    </w:p>
    <w:p w:rsidR="004A6E3A" w:rsidRDefault="004A6E3A" w:rsidP="004A6E3A">
      <w:pPr>
        <w:ind w:left="680" w:hanging="272"/>
        <w:jc w:val="both"/>
      </w:pPr>
      <w:r>
        <w:t>e)  maksymalny wskaźnik intensywności zabudowy - 0,35,</w:t>
      </w:r>
    </w:p>
    <w:p w:rsidR="004A6E3A" w:rsidRDefault="004A6E3A" w:rsidP="004A6E3A">
      <w:pPr>
        <w:ind w:left="680" w:hanging="272"/>
        <w:jc w:val="both"/>
      </w:pPr>
      <w:r>
        <w:t>f)   minimalny udział powierzchni biologicznie czynnej - 60%,</w:t>
      </w:r>
    </w:p>
    <w:p w:rsidR="004A6E3A" w:rsidRDefault="004A6E3A" w:rsidP="004A6E3A">
      <w:pPr>
        <w:ind w:left="680" w:hanging="272"/>
        <w:jc w:val="both"/>
      </w:pPr>
      <w:r>
        <w:t>g)  maksymalna wysokość zabudowy - 11,0 m,</w:t>
      </w:r>
    </w:p>
    <w:p w:rsidR="004A6E3A" w:rsidRDefault="004A6E3A" w:rsidP="004A6E3A">
      <w:pPr>
        <w:ind w:left="680" w:hanging="272"/>
        <w:jc w:val="both"/>
      </w:pPr>
      <w:r>
        <w:t>h)  kąt nachylenia połaci dachowych od 0º do 15º.</w:t>
      </w:r>
    </w:p>
    <w:p w:rsidR="004A6E3A" w:rsidRDefault="004A6E3A" w:rsidP="004A6E3A">
      <w:r>
        <w:t>(…)</w:t>
      </w:r>
    </w:p>
    <w:p w:rsidR="004A6E3A" w:rsidRDefault="004A6E3A" w:rsidP="004A6E3A"/>
    <w:p w:rsidR="004A6E3A" w:rsidRDefault="004A6E3A" w:rsidP="004A6E3A"/>
    <w:p w:rsidR="004A6E3A" w:rsidRDefault="004A6E3A" w:rsidP="004A6E3A"/>
    <w:p w:rsidR="004A6E3A" w:rsidRDefault="004A6E3A" w:rsidP="004A6E3A"/>
    <w:p w:rsidR="004A6E3A" w:rsidRDefault="004A6E3A" w:rsidP="004A6E3A"/>
    <w:p w:rsidR="009A0127" w:rsidRDefault="009A0127">
      <w:bookmarkStart w:id="0" w:name="_GoBack"/>
      <w:bookmarkEnd w:id="0"/>
    </w:p>
    <w:sectPr w:rsidR="009A0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E3A"/>
    <w:rsid w:val="004A6E3A"/>
    <w:rsid w:val="009A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6E3A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6E3A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2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1204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borgula</dc:creator>
  <cp:lastModifiedBy>borgula</cp:lastModifiedBy>
  <cp:revision>1</cp:revision>
  <dcterms:created xsi:type="dcterms:W3CDTF">2017-02-02T08:40:00Z</dcterms:created>
  <dcterms:modified xsi:type="dcterms:W3CDTF">2017-02-02T08:41:00Z</dcterms:modified>
</cp:coreProperties>
</file>